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Emma Lindqvist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Senior Software Architect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Boston, MA  ·  emma.lindqvist@gmail.com  ·  +1 617-555-0193  ·  linkedin.com/in/emmalindqvist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Senior Software Architect</w:t>
      </w:r>
      <w:r>
        <w:t xml:space="preserve"> with </w:t>
      </w:r>
      <w:r>
        <w:rPr>
          <w:b/>
          <w:bCs/>
        </w:rPr>
        <w:t xml:space="preserve">9 years</w:t>
      </w:r>
      <w:r>
        <w:t xml:space="preserve"> designing </w:t>
      </w:r>
      <w:r>
        <w:rPr>
          <w:b/>
          <w:bCs/>
        </w:rPr>
        <w:t xml:space="preserve">cloud data platforms for design and engineering software</w:t>
      </w:r>
      <w:r>
        <w:t xml:space="preserve">, specializing in </w:t>
      </w:r>
      <w:r>
        <w:rPr>
          <w:b/>
          <w:bCs/>
        </w:rPr>
        <w:t xml:space="preserve">domain modeling, API platforms and multi-tenant data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Hands-on with </w:t>
      </w:r>
      <w:r>
        <w:rPr>
          <w:b/>
          <w:bCs/>
        </w:rPr>
        <w:t xml:space="preserve">Java</w:t>
      </w:r>
      <w:r>
        <w:t xml:space="preserve">, </w:t>
      </w:r>
      <w:r>
        <w:rPr>
          <w:b/>
          <w:bCs/>
        </w:rPr>
        <w:t xml:space="preserve">Kotlin</w:t>
      </w:r>
      <w:r>
        <w:t xml:space="preserve">, </w:t>
      </w:r>
      <w:r>
        <w:rPr>
          <w:b/>
          <w:bCs/>
        </w:rPr>
        <w:t xml:space="preserve">TypeScript</w:t>
      </w:r>
      <w:r>
        <w:t xml:space="preserve">, </w:t>
      </w:r>
      <w:r>
        <w:rPr>
          <w:b/>
          <w:bCs/>
        </w:rPr>
        <w:t xml:space="preserve">AWS</w:t>
      </w:r>
      <w:r>
        <w:t xml:space="preserve"> (EKS, Aurora, Lambda), </w:t>
      </w:r>
      <w:r>
        <w:rPr>
          <w:b/>
          <w:bCs/>
        </w:rPr>
        <w:t xml:space="preserve">PostgreSQL</w:t>
      </w:r>
      <w:r>
        <w:t xml:space="preserve">, </w:t>
      </w:r>
      <w:r>
        <w:rPr>
          <w:b/>
          <w:bCs/>
        </w:rPr>
        <w:t xml:space="preserve">Apache Kafka</w:t>
      </w:r>
      <w:r>
        <w:t xml:space="preserve">, </w:t>
      </w:r>
      <w:r>
        <w:rPr>
          <w:b/>
          <w:bCs/>
        </w:rPr>
        <w:t xml:space="preserve">GraphQL</w:t>
      </w:r>
      <w:r>
        <w:t xml:space="preserve"> and </w:t>
      </w:r>
      <w:r>
        <w:rPr>
          <w:b/>
          <w:bCs/>
        </w:rPr>
        <w:t xml:space="preserve">AsyncAPI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Deep expertise in </w:t>
      </w:r>
      <w:r>
        <w:rPr>
          <w:b/>
          <w:bCs/>
        </w:rPr>
        <w:t xml:space="preserve">bounded context design</w:t>
      </w:r>
      <w:r>
        <w:t xml:space="preserve">, </w:t>
      </w:r>
      <w:r>
        <w:rPr>
          <w:b/>
          <w:bCs/>
        </w:rPr>
        <w:t xml:space="preserve">schema evolution</w:t>
      </w:r>
      <w:r>
        <w:t xml:space="preserve">, </w:t>
      </w:r>
      <w:r>
        <w:rPr>
          <w:b/>
          <w:bCs/>
        </w:rPr>
        <w:t xml:space="preserve">capacity modeling</w:t>
      </w:r>
      <w:r>
        <w:t xml:space="preserve"> and </w:t>
      </w:r>
      <w:r>
        <w:rPr>
          <w:b/>
          <w:bCs/>
        </w:rPr>
        <w:t xml:space="preserve">architecture reviews</w:t>
      </w:r>
      <w:r>
        <w:t xml:space="preserve">, with an ADR behind every major call.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Partners with </w:t>
      </w:r>
      <w:r>
        <w:rPr>
          <w:b/>
          <w:bCs/>
        </w:rPr>
        <w:t xml:space="preserve">11 product teams, SRE and security</w:t>
      </w:r>
      <w:r>
        <w:t xml:space="preserve"> through design reviews, an API council and quarterly planning.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Mentors </w:t>
      </w:r>
      <w:r>
        <w:rPr>
          <w:b/>
          <w:bCs/>
        </w:rPr>
        <w:t xml:space="preserve">3 senior engineers</w:t>
      </w:r>
      <w:r>
        <w:t xml:space="preserve">, wrote the platform’s </w:t>
      </w:r>
      <w:r>
        <w:rPr>
          <w:b/>
          <w:bCs/>
        </w:rPr>
        <w:t xml:space="preserve">GraphQL schema guidelines</w:t>
      </w:r>
      <w:r>
        <w:t xml:space="preserve">, and teaches the internal </w:t>
      </w:r>
      <w:r>
        <w:rPr>
          <w:b/>
          <w:bCs/>
        </w:rPr>
        <w:t xml:space="preserve">C4 modeling workshop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Architecture Styles &amp; Patterns:</w:t>
      </w:r>
      <w:r>
        <w:t xml:space="preserve"> </w:t>
      </w:r>
      <w:r>
        <w:t xml:space="preserve">Domain-driven design, event-driven architecture, microservices, CQRS, event sourcing, hexagonal architecture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Languages &amp; Frameworks:</w:t>
      </w:r>
      <w:r>
        <w:tab/>
      </w:r>
      <w:r>
        <w:t xml:space="preserve">Java, Kotlin, Spring Boot, TypeScript, Node.js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Cloud &amp; Infrastructure:</w:t>
      </w:r>
      <w:r>
        <w:tab/>
      </w:r>
      <w:r>
        <w:t xml:space="preserve">AWS (EKS, Aurora, Lambda, S3), Kubernetes, Terraform, Docker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Data &amp; Messaging:</w:t>
      </w:r>
      <w:r>
        <w:tab/>
      </w:r>
      <w:r>
        <w:t xml:space="preserve">PostgreSQL, Apache Kafka, MongoDB, Redis, Elasticsearch, Debezium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APIs &amp; Integration:</w:t>
      </w:r>
      <w:r>
        <w:tab/>
      </w:r>
      <w:r>
        <w:t xml:space="preserve">GraphQL, REST, OpenAPI, AsyncAPI, Apache Avro, Schema Registry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Security &amp; Identity:</w:t>
      </w:r>
      <w:r>
        <w:tab/>
      </w:r>
      <w:r>
        <w:t xml:space="preserve">Threat modeling, OAuth 2.0, OpenID Connect, tenant isolation, SOC 2, ISO 27001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Documentation &amp; Modeling:</w:t>
      </w:r>
      <w:r>
        <w:tab/>
      </w:r>
      <w:r>
        <w:t xml:space="preserve">C4 model, ADRs, Structurizr, arc42, ArchUnit, RFCs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University of Michigan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B.S.E. in Computer Science</w:t>
      </w:r>
      <w:r>
        <w:tab/>
      </w:r>
      <w:r>
        <w:rPr>
          <w:color w:val="5F6368"/>
          <w:sz w:val="19"/>
          <w:szCs w:val="19"/>
        </w:rPr>
        <w:t xml:space="preserve">Ann Arbor, MI · Sep 2013 to May 2017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Autodesk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Software Architect, AEC Data Platform</w:t>
      </w:r>
      <w:r>
        <w:tab/>
      </w:r>
      <w:r>
        <w:rPr>
          <w:color w:val="5F6368"/>
          <w:sz w:val="19"/>
          <w:szCs w:val="19"/>
        </w:rPr>
        <w:t xml:space="preserve">Boston, MA · Apr 2022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Designed the bounded contexts for the AEC data model behind Autodesk Platform Services (projects, elements, versions, permissions), giving each one owner team and cutting cross-team schema changes by </w:t>
      </w:r>
      <w:r>
        <w:rPr>
          <w:b/>
          <w:bCs/>
        </w:rPr>
        <w:t xml:space="preserve">70%</w:t>
      </w:r>
      <w:r>
        <w:t xml:space="preserve"> in a year.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read latency, availability and cost-per-tenant targets for the element query service, then checked them with a capacity model and </w:t>
      </w:r>
      <w:r>
        <w:rPr>
          <w:b/>
          <w:bCs/>
        </w:rPr>
        <w:t xml:space="preserve">Gatling</w:t>
      </w:r>
      <w:r>
        <w:t xml:space="preserve"> tests at 5x launch load, holding p99 under </w:t>
      </w:r>
      <w:r>
        <w:rPr>
          <w:b/>
          <w:bCs/>
        </w:rPr>
        <w:t xml:space="preserve">250 ms</w:t>
      </w:r>
      <w:r>
        <w:t xml:space="preserve"> at GA.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</w:t>
      </w:r>
      <w:r>
        <w:rPr>
          <w:b/>
          <w:bCs/>
        </w:rPr>
        <w:t xml:space="preserve">GraphQL</w:t>
      </w:r>
      <w:r>
        <w:t xml:space="preserve"> schema guidelines and an </w:t>
      </w:r>
      <w:r>
        <w:rPr>
          <w:b/>
          <w:bCs/>
        </w:rPr>
        <w:t xml:space="preserve">AsyncAPI</w:t>
      </w:r>
      <w:r>
        <w:t xml:space="preserve"> event standard for the </w:t>
      </w:r>
      <w:r>
        <w:rPr>
          <w:b/>
          <w:bCs/>
        </w:rPr>
        <w:t xml:space="preserve">11 teams</w:t>
      </w:r>
      <w:r>
        <w:t xml:space="preserve"> that publish design data changes, with no breaking changes for API customers across 4 releases.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the AEC data architecture review with a design template and ArchUnit checks in CI, reviewing 60+ designs a year and cutting review turnaround from 3 weeks to </w:t>
      </w:r>
      <w:r>
        <w:rPr>
          <w:b/>
          <w:bCs/>
        </w:rPr>
        <w:t xml:space="preserve">6 days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27 ADRs, including the choice of </w:t>
      </w:r>
      <w:r>
        <w:rPr>
          <w:b/>
          <w:bCs/>
        </w:rPr>
        <w:t xml:space="preserve">PostgreSQL</w:t>
      </w:r>
      <w:r>
        <w:t xml:space="preserve"> with JSONB over a graph database for element relationships, which saved an estimated </w:t>
      </w:r>
      <w:r>
        <w:rPr>
          <w:b/>
          <w:bCs/>
        </w:rPr>
        <w:t xml:space="preserve">$1.1M</w:t>
      </w:r>
      <w:r>
        <w:t xml:space="preserve"> over 3 years in licenses and operations.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PTC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Senior Software Engineer, Onshape</w:t>
      </w:r>
      <w:r>
        <w:tab/>
      </w:r>
      <w:r>
        <w:rPr>
          <w:color w:val="5F6368"/>
          <w:sz w:val="19"/>
          <w:szCs w:val="19"/>
        </w:rPr>
        <w:t xml:space="preserve">Boston, MA · Jul 2017 to Mar 2022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Onshape document history service from a single </w:t>
      </w:r>
      <w:r>
        <w:rPr>
          <w:b/>
          <w:bCs/>
        </w:rPr>
        <w:t xml:space="preserve">MongoDB</w:t>
      </w:r>
      <w:r>
        <w:t xml:space="preserve"> replica set to sharded collections with no downtime, cutting p95 history load time from 2.8 s to </w:t>
      </w:r>
      <w:r>
        <w:rPr>
          <w:b/>
          <w:bCs/>
        </w:rPr>
        <w:t xml:space="preserve">600 ms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tenant isolation checks and OAuth 2.0 scopes to the public REST API, closing </w:t>
      </w:r>
      <w:r>
        <w:rPr>
          <w:b/>
          <w:bCs/>
        </w:rPr>
        <w:t xml:space="preserve">14 findings</w:t>
      </w:r>
      <w:r>
        <w:t xml:space="preserve"> from the yearly penetration test before the SOC 2 Type II audit.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Drew the C4 container diagrams for </w:t>
      </w:r>
      <w:r>
        <w:rPr>
          <w:b/>
          <w:bCs/>
        </w:rPr>
        <w:t xml:space="preserve">30 services</w:t>
      </w:r>
      <w:r>
        <w:t xml:space="preserve"> and ran a monthly design clinic, which 3 engineers I mentored went on to lead.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Senior Software Architect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techiecv.com/resume-templates/software-architect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software-architect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Software Architect Resume Example</dc:title>
  <dc:creator>Emmanuel Gendre, TechieCV</dc:creator>
  <cp:lastModifiedBy>TechieCV</cp:lastModifiedBy>
  <dcterms:created xsi:type="dcterms:W3CDTF">2026-11-04T12:01:19Z</dcterms:created>
  <dcterms:modified xsi:type="dcterms:W3CDTF">2026-11-04T12:01:19Z</dcterms:modified>
</cp:coreProperties>
</file>