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Relationship Id="rId2" Type="http://schemas.openxmlformats.org/package/2006/relationships/metadata/core-properties" Target="docProps/core.xml"/>
<Relationship Id="rId3" Type="http://schemas.openxmlformats.org/officeDocument/2006/relationships/extended-properties" Target="docProps/app.xml"/>
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before="0" w:after="40" w:line="264" w:lineRule="auto"/>
      </w:pPr>
      <w:r>
        <w:rPr>
          <w:b/>
          <w:bCs/>
          <w:sz w:val="34"/>
          <w:szCs w:val="34"/>
        </w:rPr>
        <w:t xml:space="preserve">Omar Khalifa</w:t>
      </w:r>
      <w:r>
        <w:t xml:space="preserve">   </w:t>
      </w:r>
      <w:r>
        <w:rPr>
          <w:b/>
          <w:bCs/>
          <w:color w:val="1A73E8"/>
          <w:sz w:val="22"/>
          <w:szCs w:val="22"/>
        </w:rPr>
        <w:t xml:space="preserve">Senior GRC Analyst</w:t>
      </w:r>
    </w:p>
    <w:p>
      <w:pPr>
        <w:pBdr>
          <w:bottom w:val="single" w:sz="6" w:space="2" w:color="DADCE0"/>
        </w:pBdr>
        <w:spacing w:before="0" w:after="60" w:line="264" w:lineRule="auto"/>
      </w:pPr>
      <w:r>
        <w:rPr>
          <w:color w:val="5F6368"/>
          <w:sz w:val="19"/>
          <w:szCs w:val="19"/>
        </w:rPr>
        <w:t xml:space="preserve">Chicago, IL  ·  omar.khalifa@gmail.com  ·  +1 312-555-0149  ·  linkedin.com/in/omarkhalifa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Profile Summary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rPr>
          <w:b/>
          <w:bCs/>
        </w:rPr>
        <w:t xml:space="preserve">Senior GRC Analyst</w:t>
      </w:r>
      <w:r>
        <w:t xml:space="preserve"> with </w:t>
      </w:r>
      <w:r>
        <w:rPr>
          <w:b/>
          <w:bCs/>
        </w:rPr>
        <w:t xml:space="preserve">6 years</w:t>
      </w:r>
      <w:r>
        <w:t xml:space="preserve"> in </w:t>
      </w:r>
      <w:r>
        <w:rPr>
          <w:b/>
          <w:bCs/>
        </w:rPr>
        <w:t xml:space="preserve">financial services cyber risk</w:t>
      </w:r>
      <w:r>
        <w:t xml:space="preserve">, advising </w:t>
      </w:r>
      <w:r>
        <w:rPr>
          <w:b/>
          <w:bCs/>
        </w:rPr>
        <w:t xml:space="preserve">banks, asset managers, and insurers</w:t>
      </w:r>
      <w:r>
        <w:t xml:space="preserve"> on </w:t>
      </w:r>
      <w:r>
        <w:rPr>
          <w:b/>
          <w:bCs/>
        </w:rPr>
        <w:t xml:space="preserve">NYDFS Part 500, SOX ITGC, and vendor risk</w:t>
      </w:r>
      <w:r>
        <w:t xml:space="preserve">, specializing in </w:t>
      </w:r>
      <w:r>
        <w:rPr>
          <w:b/>
          <w:bCs/>
        </w:rPr>
        <w:t xml:space="preserve">gap assessments and remediation roadmaps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Hands-on across GRC platform (</w:t>
      </w:r>
      <w:r>
        <w:rPr>
          <w:b/>
          <w:bCs/>
        </w:rPr>
        <w:t xml:space="preserve">Archer</w:t>
      </w:r>
      <w:r>
        <w:t xml:space="preserve">), vendor risk (</w:t>
      </w:r>
      <w:r>
        <w:rPr>
          <w:b/>
          <w:bCs/>
        </w:rPr>
        <w:t xml:space="preserve">OneTrust TPRM</w:t>
      </w:r>
      <w:r>
        <w:t xml:space="preserve"> and </w:t>
      </w:r>
      <w:r>
        <w:rPr>
          <w:b/>
          <w:bCs/>
        </w:rPr>
        <w:t xml:space="preserve">SecurityScorecard</w:t>
      </w:r>
      <w:r>
        <w:t xml:space="preserve">), risk method (</w:t>
      </w:r>
      <w:r>
        <w:rPr>
          <w:b/>
          <w:bCs/>
        </w:rPr>
        <w:t xml:space="preserve">FAIR</w:t>
      </w:r>
      <w:r>
        <w:t xml:space="preserve">), testing scripts (</w:t>
      </w:r>
      <w:r>
        <w:rPr>
          <w:b/>
          <w:bCs/>
        </w:rPr>
        <w:t xml:space="preserve">Python</w:t>
      </w:r>
      <w:r>
        <w:t xml:space="preserve"> and </w:t>
      </w:r>
      <w:r>
        <w:rPr>
          <w:b/>
          <w:bCs/>
        </w:rPr>
        <w:t xml:space="preserve">SQL</w:t>
      </w:r>
      <w:r>
        <w:t xml:space="preserve">), and dashboards (</w:t>
      </w:r>
      <w:r>
        <w:rPr>
          <w:b/>
          <w:bCs/>
        </w:rPr>
        <w:t xml:space="preserve">Power BI</w:t>
      </w:r>
      <w:r>
        <w:t xml:space="preserve">), plus working knowledge of ServiceNow IRM and DORA.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Specialist in </w:t>
      </w:r>
      <w:r>
        <w:rPr>
          <w:b/>
          <w:bCs/>
        </w:rPr>
        <w:t xml:space="preserve">FAIR quantification</w:t>
      </w:r>
      <w:r>
        <w:t xml:space="preserve">, </w:t>
      </w:r>
      <w:r>
        <w:rPr>
          <w:b/>
          <w:bCs/>
        </w:rPr>
        <w:t xml:space="preserve">full-population ITGC testing</w:t>
      </w:r>
      <w:r>
        <w:t xml:space="preserve">, and </w:t>
      </w:r>
      <w:r>
        <w:rPr>
          <w:b/>
          <w:bCs/>
        </w:rPr>
        <w:t xml:space="preserve">vendor tiering</w:t>
      </w:r>
      <w:r>
        <w:t xml:space="preserve">, using </w:t>
      </w:r>
      <w:r>
        <w:rPr>
          <w:b/>
          <w:bCs/>
        </w:rPr>
        <w:t xml:space="preserve">Monte Carlo loss ranges</w:t>
      </w:r>
      <w:r>
        <w:t xml:space="preserve"> and </w:t>
      </w:r>
      <w:r>
        <w:rPr>
          <w:b/>
          <w:bCs/>
        </w:rPr>
        <w:t xml:space="preserve">Python test scripts</w:t>
      </w:r>
      <w:r>
        <w:t xml:space="preserve"> so bank boards get </w:t>
      </w:r>
      <w:r>
        <w:rPr>
          <w:b/>
          <w:bCs/>
        </w:rPr>
        <w:t xml:space="preserve">dollar figures and tested evidence, not heat maps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Runs client meetings with </w:t>
      </w:r>
      <w:r>
        <w:rPr>
          <w:b/>
          <w:bCs/>
        </w:rPr>
        <w:t xml:space="preserve">CISOs, heads of internal audit, and procurement leads</w:t>
      </w:r>
      <w:r>
        <w:t xml:space="preserve"> across </w:t>
      </w:r>
      <w:r>
        <w:rPr>
          <w:b/>
          <w:bCs/>
        </w:rPr>
        <w:t xml:space="preserve">7 to 9 engagements a year</w:t>
      </w:r>
      <w:r>
        <w:t xml:space="preserve">, and presents findings at the risk committees that approve remediation budgets.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rPr>
          <w:b/>
          <w:bCs/>
        </w:rPr>
        <w:t xml:space="preserve">CISA</w:t>
      </w:r>
      <w:r>
        <w:t xml:space="preserve"> holder who has coached </w:t>
      </w:r>
      <w:r>
        <w:rPr>
          <w:b/>
          <w:bCs/>
        </w:rPr>
        <w:t xml:space="preserve">3 associates</w:t>
      </w:r>
      <w:r>
        <w:t xml:space="preserve"> to promotion and maintains the </w:t>
      </w:r>
      <w:r>
        <w:rPr>
          <w:b/>
          <w:bCs/>
        </w:rPr>
        <w:t xml:space="preserve">Python test library</w:t>
      </w:r>
      <w:r>
        <w:t xml:space="preserve"> for access and change controls that the Chicago cyber practice runs on every SOX engagement.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Technical Skills</w:t>
      </w:r>
    </w:p>
    <w:p>
      <w:pPr>
        <w:tabs>
          <w:tab w:val="left" w:pos="3426"/>
        </w:tabs>
        <w:spacing w:before="0" w:after="30" w:line="264" w:lineRule="auto"/>
        <w:ind w:left="3426" w:hanging="3426"/>
      </w:pPr>
      <w:r>
        <w:rPr>
          <w:b/>
          <w:bCs/>
        </w:rPr>
        <w:t xml:space="preserve">Compliance Frameworks:</w:t>
      </w:r>
      <w:r>
        <w:tab/>
      </w:r>
      <w:r>
        <w:t xml:space="preserve">NIST CSF 2.0, ISO 27001:2022, SOC 2 Type II, PCI DSS v4.0, NIST SP 800-53, CIS Controls v8</w:t>
      </w:r>
    </w:p>
    <w:p>
      <w:pPr>
        <w:tabs>
          <w:tab w:val="left" w:pos="3426"/>
        </w:tabs>
        <w:spacing w:before="0" w:after="30" w:line="264" w:lineRule="auto"/>
        <w:ind w:left="3426" w:hanging="3426"/>
      </w:pPr>
      <w:r>
        <w:rPr>
          <w:b/>
          <w:bCs/>
        </w:rPr>
        <w:t xml:space="preserve">Regulations &amp; Privacy:</w:t>
      </w:r>
      <w:r>
        <w:tab/>
      </w:r>
      <w:r>
        <w:t xml:space="preserve">NYDFS Part 500, SOX, GLBA, GDPR, CCPA/CPRA, HIPAA, DORA (working knowledge)</w:t>
      </w:r>
    </w:p>
    <w:p>
      <w:pPr>
        <w:tabs>
          <w:tab w:val="left" w:pos="3426"/>
        </w:tabs>
        <w:spacing w:before="0" w:after="30" w:line="264" w:lineRule="auto"/>
        <w:ind w:left="3426" w:hanging="3426"/>
      </w:pPr>
      <w:r>
        <w:rPr>
          <w:b/>
          <w:bCs/>
        </w:rPr>
        <w:t xml:space="preserve">Risk Management:</w:t>
      </w:r>
      <w:r>
        <w:tab/>
      </w:r>
      <w:r>
        <w:t xml:space="preserve">FAIR, NIST RMF, ISO 27005, risk registers, KRIs, risk treatment plans</w:t>
      </w:r>
    </w:p>
    <w:p>
      <w:pPr>
        <w:tabs>
          <w:tab w:val="left" w:pos="3426"/>
        </w:tabs>
        <w:spacing w:before="0" w:after="30" w:line="264" w:lineRule="auto"/>
        <w:ind w:left="3426" w:hanging="3426"/>
      </w:pPr>
      <w:r>
        <w:rPr>
          <w:b/>
          <w:bCs/>
        </w:rPr>
        <w:t xml:space="preserve">Audit &amp; Control Testing:</w:t>
      </w:r>
      <w:r>
        <w:tab/>
      </w:r>
      <w:r>
        <w:t xml:space="preserve">SOX ITGC testing, full-population testing, sampling, design and operating effectiveness, remediation tracking</w:t>
      </w:r>
    </w:p>
    <w:p>
      <w:pPr>
        <w:tabs>
          <w:tab w:val="left" w:pos="3426"/>
        </w:tabs>
        <w:spacing w:before="0" w:after="30" w:line="264" w:lineRule="auto"/>
        <w:ind w:left="3426" w:hanging="3426"/>
      </w:pPr>
      <w:r>
        <w:rPr>
          <w:b/>
          <w:bCs/>
        </w:rPr>
        <w:t xml:space="preserve">GRC Platforms &amp; Automation:</w:t>
      </w:r>
      <w:r>
        <w:tab/>
      </w:r>
      <w:r>
        <w:t xml:space="preserve">Archer, OneTrust TPRM, ServiceNow IRM (working knowledge), Python (pandas), SQL, Jira</w:t>
      </w:r>
    </w:p>
    <w:p>
      <w:pPr>
        <w:tabs>
          <w:tab w:val="left" w:pos="3426"/>
        </w:tabs>
        <w:spacing w:before="0" w:after="30" w:line="264" w:lineRule="auto"/>
        <w:ind w:left="3426" w:hanging="3426"/>
      </w:pPr>
      <w:r>
        <w:rPr>
          <w:b/>
          <w:bCs/>
        </w:rPr>
        <w:t xml:space="preserve">Third-Party Risk:</w:t>
      </w:r>
      <w:r>
        <w:tab/>
      </w:r>
      <w:r>
        <w:t xml:space="preserve">SIG Core and Lite, CAIQ, vendor risk tiering, SOC report review, SecurityScorecard, contract security clauses</w:t>
      </w:r>
    </w:p>
    <w:p>
      <w:pPr>
        <w:tabs>
          <w:tab w:val="left" w:pos="3426"/>
        </w:tabs>
        <w:spacing w:before="0" w:after="30" w:line="264" w:lineRule="auto"/>
        <w:ind w:left="3426" w:hanging="3426"/>
      </w:pPr>
      <w:r>
        <w:rPr>
          <w:b/>
          <w:bCs/>
        </w:rPr>
        <w:t xml:space="preserve">Reporting &amp; Analytics:</w:t>
      </w:r>
      <w:r>
        <w:tab/>
      </w:r>
      <w:r>
        <w:t xml:space="preserve">Power BI, Excel, KRI/KPI reporting, risk committee decks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Education</w:t>
      </w:r>
    </w:p>
    <w:p>
      <w:pPr>
        <w:tabs>
          <w:tab w:val="right" w:pos="10224"/>
        </w:tabs>
        <w:spacing w:before="80" w:after="40" w:line="264" w:lineRule="auto"/>
      </w:pPr>
      <w:r>
        <w:rPr>
          <w:b/>
          <w:bCs/>
          <w:sz w:val="21"/>
          <w:szCs w:val="21"/>
        </w:rPr>
        <w:t xml:space="preserve">University of Illinois Chicago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M.S. in Information Assurance</w:t>
      </w:r>
      <w:r>
        <w:tab/>
      </w:r>
      <w:r>
        <w:rPr>
          <w:color w:val="5F6368"/>
          <w:sz w:val="19"/>
          <w:szCs w:val="19"/>
        </w:rPr>
        <w:t xml:space="preserve">Chicago, IL · Aug 2018 to May 2020</w:t>
      </w:r>
    </w:p>
    <w:p>
      <w:pPr>
        <w:tabs>
          <w:tab w:val="right" w:pos="10224"/>
        </w:tabs>
        <w:spacing w:before="80" w:after="40" w:line="264" w:lineRule="auto"/>
      </w:pPr>
      <w:r>
        <w:rPr>
          <w:b/>
          <w:bCs/>
          <w:sz w:val="21"/>
          <w:szCs w:val="21"/>
        </w:rPr>
        <w:t xml:space="preserve">ISACA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Certified Information Systems Auditor (CISA)</w:t>
      </w:r>
      <w:r>
        <w:tab/>
      </w:r>
      <w:r>
        <w:rPr>
          <w:color w:val="5F6368"/>
          <w:sz w:val="19"/>
          <w:szCs w:val="19"/>
        </w:rPr>
        <w:t xml:space="preserve">Chicago, IL · Nov 2022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Work Experience</w:t>
      </w:r>
    </w:p>
    <w:p>
      <w:pPr>
        <w:keepNext/>
        <w:tabs>
          <w:tab w:val="right" w:pos="10224"/>
        </w:tabs>
        <w:spacing w:before="140" w:after="40" w:line="264" w:lineRule="auto"/>
      </w:pPr>
      <w:r>
        <w:rPr>
          <w:b/>
          <w:bCs/>
          <w:sz w:val="21"/>
          <w:szCs w:val="21"/>
        </w:rPr>
        <w:t xml:space="preserve">KPMG Cyber Security Services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Senior GRC Analyst</w:t>
      </w:r>
      <w:r>
        <w:tab/>
      </w:r>
      <w:r>
        <w:rPr>
          <w:color w:val="5F6368"/>
          <w:sz w:val="19"/>
          <w:szCs w:val="19"/>
        </w:rPr>
        <w:t xml:space="preserve">Chicago, IL · Jul 2022 to Present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Led NYDFS Part 500 gap assessments at </w:t>
      </w:r>
      <w:r>
        <w:rPr>
          <w:b/>
          <w:bCs/>
        </w:rPr>
        <w:t xml:space="preserve">9 banks and insurers</w:t>
      </w:r>
      <w:r>
        <w:t xml:space="preserve">, mapping controls to NIST CSF 2.0 in Excel, with roadmaps that closed </w:t>
      </w:r>
      <w:r>
        <w:rPr>
          <w:b/>
          <w:bCs/>
        </w:rPr>
        <w:t xml:space="preserve">71% of gaps</w:t>
      </w:r>
      <w:r>
        <w:t xml:space="preserve"> in 12 months.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Quantified a regional bank's top cyber risks with </w:t>
      </w:r>
      <w:r>
        <w:rPr>
          <w:b/>
          <w:bCs/>
        </w:rPr>
        <w:t xml:space="preserve">FAIR</w:t>
      </w:r>
      <w:r>
        <w:t xml:space="preserve"> and Monte Carlo runs in </w:t>
      </w:r>
      <w:r>
        <w:rPr>
          <w:b/>
          <w:bCs/>
        </w:rPr>
        <w:t xml:space="preserve">Python</w:t>
      </w:r>
      <w:r>
        <w:t xml:space="preserve">, swapping heat-map colors for loss ranges that moved </w:t>
      </w:r>
      <w:r>
        <w:rPr>
          <w:b/>
          <w:bCs/>
        </w:rPr>
        <w:t xml:space="preserve">$3.2M</w:t>
      </w:r>
      <w:r>
        <w:t xml:space="preserve"> into identity and backup controls.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Replaced sample-based SOX ITGC access testing at 3 banks with full-population checks in </w:t>
      </w:r>
      <w:r>
        <w:rPr>
          <w:b/>
          <w:bCs/>
        </w:rPr>
        <w:t xml:space="preserve">Python</w:t>
      </w:r>
      <w:r>
        <w:t xml:space="preserve"> and SQL against Active Directory and Workday, cutting testing hours per cycle by </w:t>
      </w:r>
      <w:r>
        <w:rPr>
          <w:b/>
          <w:bCs/>
        </w:rPr>
        <w:t xml:space="preserve">38%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Rebuilt vendor tiering for a top-20 insurer's </w:t>
      </w:r>
      <w:r>
        <w:rPr>
          <w:b/>
          <w:bCs/>
        </w:rPr>
        <w:t xml:space="preserve">1,400 suppliers</w:t>
      </w:r>
      <w:r>
        <w:t xml:space="preserve"> in </w:t>
      </w:r>
      <w:r>
        <w:rPr>
          <w:b/>
          <w:bCs/>
        </w:rPr>
        <w:t xml:space="preserve">OneTrust</w:t>
      </w:r>
      <w:r>
        <w:t xml:space="preserve">, sending SIG Core only to the top tier and adding SecurityScorecard alerts, cutting review backlog by </w:t>
      </w:r>
      <w:r>
        <w:rPr>
          <w:b/>
          <w:bCs/>
        </w:rPr>
        <w:t xml:space="preserve">64%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Designed a </w:t>
      </w:r>
      <w:r>
        <w:rPr>
          <w:b/>
          <w:bCs/>
        </w:rPr>
        <w:t xml:space="preserve">Power BI</w:t>
      </w:r>
      <w:r>
        <w:t xml:space="preserve"> remediation dashboard on a client's </w:t>
      </w:r>
      <w:r>
        <w:rPr>
          <w:b/>
          <w:bCs/>
        </w:rPr>
        <w:t xml:space="preserve">Archer</w:t>
      </w:r>
      <w:r>
        <w:t xml:space="preserve"> issues module, with aging buckets and owner views, which brought </w:t>
      </w:r>
      <w:r>
        <w:rPr>
          <w:b/>
          <w:bCs/>
        </w:rPr>
        <w:t xml:space="preserve">past-due findings from 86 to 19</w:t>
      </w:r>
      <w:r>
        <w:t xml:space="preserve"> in two quarters.</w:t>
      </w:r>
    </w:p>
    <w:p>
      <w:pPr>
        <w:keepNext/>
        <w:tabs>
          <w:tab w:val="right" w:pos="10224"/>
        </w:tabs>
        <w:spacing w:before="140" w:after="40" w:line="264" w:lineRule="auto"/>
      </w:pPr>
      <w:r>
        <w:rPr>
          <w:b/>
          <w:bCs/>
          <w:sz w:val="21"/>
          <w:szCs w:val="21"/>
        </w:rPr>
        <w:t xml:space="preserve">Northern Trust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IT Risk Analyst</w:t>
      </w:r>
      <w:r>
        <w:tab/>
      </w:r>
      <w:r>
        <w:rPr>
          <w:color w:val="5F6368"/>
          <w:sz w:val="19"/>
          <w:szCs w:val="19"/>
        </w:rPr>
        <w:t xml:space="preserve">Chicago, IL · Jul 2020 to Jun 2022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Coordinated evidence for the asset-servicing </w:t>
      </w:r>
      <w:r>
        <w:rPr>
          <w:b/>
          <w:bCs/>
        </w:rPr>
        <w:t xml:space="preserve">SOC 1 Type II</w:t>
      </w:r>
      <w:r>
        <w:t xml:space="preserve"> audit, holding weekly PBC reviews with control owners in </w:t>
      </w:r>
      <w:r>
        <w:rPr>
          <w:b/>
          <w:bCs/>
        </w:rPr>
        <w:t xml:space="preserve">Archer</w:t>
      </w:r>
      <w:r>
        <w:t xml:space="preserve">, which cut exceptions from </w:t>
      </w:r>
      <w:r>
        <w:rPr>
          <w:b/>
          <w:bCs/>
        </w:rPr>
        <w:t xml:space="preserve">11 to 3</w:t>
      </w:r>
      <w:r>
        <w:t xml:space="preserve"> in one cycle.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Revised </w:t>
      </w:r>
      <w:r>
        <w:rPr>
          <w:b/>
          <w:bCs/>
        </w:rPr>
        <w:t xml:space="preserve">6 IT security standards</w:t>
      </w:r>
      <w:r>
        <w:t xml:space="preserve"> against NIST SP 800-53 Rev. 5 and ran the policy exception process in </w:t>
      </w:r>
      <w:r>
        <w:rPr>
          <w:b/>
          <w:bCs/>
        </w:rPr>
        <w:t xml:space="preserve">ServiceNow</w:t>
      </w:r>
      <w:r>
        <w:t xml:space="preserve"> with 90-day expiry, cutting open exceptions from </w:t>
      </w:r>
      <w:r>
        <w:rPr>
          <w:b/>
          <w:bCs/>
        </w:rPr>
        <w:t xml:space="preserve">140 to 52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Owned GDPR </w:t>
      </w:r>
      <w:r>
        <w:rPr>
          <w:b/>
          <w:bCs/>
        </w:rPr>
        <w:t xml:space="preserve">DPIAs</w:t>
      </w:r>
      <w:r>
        <w:t xml:space="preserve"> in </w:t>
      </w:r>
      <w:r>
        <w:rPr>
          <w:b/>
          <w:bCs/>
        </w:rPr>
        <w:t xml:space="preserve">OneTrust</w:t>
      </w:r>
      <w:r>
        <w:t xml:space="preserve"> for 12 wealth-management features with the privacy office, adding a 10-question pre-screen that cut average review time from </w:t>
      </w:r>
      <w:r>
        <w:rPr>
          <w:b/>
          <w:bCs/>
        </w:rPr>
        <w:t xml:space="preserve">5 weeks to 2</w:t>
      </w:r>
      <w:r>
        <w:t xml:space="preserve">.</w:t>
      </w:r>
    </w:p>
    <w:p>
      <w:pPr>
        <w:spacing w:before="300" w:after="0" w:line="264" w:lineRule="auto"/>
      </w:pPr>
      <w:r>
        <w:rPr>
          <w:i/>
          <w:iCs/>
          <w:color w:val="5F6368"/>
          <w:sz w:val="16"/>
          <w:szCs w:val="16"/>
        </w:rPr>
        <w:t xml:space="preserve">Senior GRC Analyst Resume Example  ·  free resume template and more examples at </w:t>
      </w:r>
      <w:hyperlink r:id="rId3" w:history="1">
        <w:r>
          <w:rPr>
            <w:i/>
            <w:iCs/>
            <w:color w:val="1A73E8"/>
            <w:sz w:val="16"/>
            <w:szCs w:val="16"/>
          </w:rPr>
          <w:t xml:space="preserve">techiecv.com/resume-templates/grc-analyst</w:t>
        </w:r>
      </w:hyperlink>
    </w:p>
    <w:sectPr>
      <w:pgSz w:w="12240" w:h="15840"/>
      <w:pgMar w:top="1008" w:right="1008" w:bottom="1008" w:left="1008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singleLevel"/>
    <w:lvl w:ilvl="0">
      <w:start w:val="1"/>
      <w:numFmt w:val="bullet"/>
      <w:lvlText w:val="•"/>
      <w:lvlJc w:val="left"/>
      <w:pPr>
        <w:ind w:left="300" w:hanging="200"/>
      </w:pPr>
      <w:rPr>
        <w:rFonts w:ascii="Arial" w:hAnsi="Arial"/>
        <w:color w:val="1A73E8"/>
      </w:rPr>
    </w:lvl>
  </w:abstractNum>
  <w:num w:numId="1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ascii="Arial" w:hAnsi="Arial" w:eastAsia="Arial" w:cs="Arial"/>
        <w:color w:val="1F2125"/>
        <w:sz w:val="21"/>
        <w:szCs w:val="21"/>
        <w:lang w:val="en-US"/>
      </w:rPr>
    </w:rPrDefault>
    <w:pPrDefault>
      <w:pPr>
        <w:spacing w:after="0" w:line="264" w:lineRule="auto"/>
      </w:pPr>
    </w:pPrDefault>
  </w:docDefaults>
  <w:style w:type="paragraph" w:default="1" w:styleId="Normal">
    <w:name w:val="Normal"/>
    <w:qFormat/>
  </w:style>
  <w:style w:type="paragraph" w:styleId="ListParagraph">
    <w:name w:val="List Paragraph"/>
    <w:basedOn w:val="Normal"/>
    <w:qFormat/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Relationship Id="rId2" Type="http://schemas.openxmlformats.org/officeDocument/2006/relationships/numbering" Target="numbering.xml"/>
<Relationship Id="rId3" Type="http://schemas.openxmlformats.org/officeDocument/2006/relationships/hyperlink" Target="https://www.techiecv.com/resume-templates/grc-analyst" TargetMode=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TechieCV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Senior GRC Analyst Resume Example</dc:title>
  <dc:creator>Emmanuel Gendre, TechieCV</dc:creator>
  <cp:lastModifiedBy>TechieCV</cp:lastModifiedBy>
  <dcterms:created xsi:type="dcterms:W3CDTF">2026-10-12T05:03:51Z</dcterms:created>
  <dcterms:modified xsi:type="dcterms:W3CDTF">2026-10-12T05:03:51Z</dcterms:modified>
</cp:coreProperties>
</file>