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Reema Banerjee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Principal GRC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Atlanta, GA  ·  reema.banerjee@gmail.com  ·  +1 404-555-0172  ·  linkedin.com/in/reemabanerjee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Principal GRC Analyst</w:t>
      </w:r>
      <w:r>
        <w:t xml:space="preserve"> with </w:t>
      </w:r>
      <w:r>
        <w:rPr>
          <w:b/>
          <w:bCs/>
        </w:rPr>
        <w:t xml:space="preserve">12 years</w:t>
      </w:r>
      <w:r>
        <w:t xml:space="preserve"> in </w:t>
      </w:r>
      <w:r>
        <w:rPr>
          <w:b/>
          <w:bCs/>
        </w:rPr>
        <w:t xml:space="preserve">Fortune 500 consumer goods and retail</w:t>
      </w:r>
      <w:r>
        <w:t xml:space="preserve">, across </w:t>
      </w:r>
      <w:r>
        <w:rPr>
          <w:b/>
          <w:bCs/>
        </w:rPr>
        <w:t xml:space="preserve">enterprise cyber risk, SOX ITGC, PCI DSS, and global privacy</w:t>
      </w:r>
      <w:r>
        <w:t xml:space="preserve">, specializing in </w:t>
      </w:r>
      <w:r>
        <w:rPr>
          <w:b/>
          <w:bCs/>
        </w:rPr>
        <w:t xml:space="preserve">unified control frameworks and board risk reporting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Fluent across GRC platform (</w:t>
      </w:r>
      <w:r>
        <w:rPr>
          <w:b/>
          <w:bCs/>
        </w:rPr>
        <w:t xml:space="preserve">AuditBoard</w:t>
      </w:r>
      <w:r>
        <w:t xml:space="preserve">), privacy and data protection (</w:t>
      </w:r>
      <w:r>
        <w:rPr>
          <w:b/>
          <w:bCs/>
        </w:rPr>
        <w:t xml:space="preserve">OneTrust</w:t>
      </w:r>
      <w:r>
        <w:t xml:space="preserve"> and </w:t>
      </w:r>
      <w:r>
        <w:rPr>
          <w:b/>
          <w:bCs/>
        </w:rPr>
        <w:t xml:space="preserve">Microsoft Purview</w:t>
      </w:r>
      <w:r>
        <w:t xml:space="preserve">), vendor ratings (</w:t>
      </w:r>
      <w:r>
        <w:rPr>
          <w:b/>
          <w:bCs/>
        </w:rPr>
        <w:t xml:space="preserve">BitSight</w:t>
      </w:r>
      <w:r>
        <w:t xml:space="preserve">), risk method (</w:t>
      </w:r>
      <w:r>
        <w:rPr>
          <w:b/>
          <w:bCs/>
        </w:rPr>
        <w:t xml:space="preserve">FAIR</w:t>
      </w:r>
      <w:r>
        <w:t xml:space="preserve">), and reporting (</w:t>
      </w:r>
      <w:r>
        <w:rPr>
          <w:b/>
          <w:bCs/>
        </w:rPr>
        <w:t xml:space="preserve">Power BI</w:t>
      </w:r>
      <w:r>
        <w:t xml:space="preserve">), with deep knowledge of the SEC cyber disclosure rules.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Deep expertise in </w:t>
      </w:r>
      <w:r>
        <w:rPr>
          <w:b/>
          <w:bCs/>
        </w:rPr>
        <w:t xml:space="preserve">control rationalization</w:t>
      </w:r>
      <w:r>
        <w:t xml:space="preserve">, </w:t>
      </w:r>
      <w:r>
        <w:rPr>
          <w:b/>
          <w:bCs/>
        </w:rPr>
        <w:t xml:space="preserve">loss-based risk quantification</w:t>
      </w:r>
      <w:r>
        <w:t xml:space="preserve">, and </w:t>
      </w:r>
      <w:r>
        <w:rPr>
          <w:b/>
          <w:bCs/>
        </w:rPr>
        <w:t xml:space="preserve">continuous control monitoring</w:t>
      </w:r>
      <w:r>
        <w:t xml:space="preserve">, using </w:t>
      </w:r>
      <w:r>
        <w:rPr>
          <w:b/>
          <w:bCs/>
        </w:rPr>
        <w:t xml:space="preserve">the Secure Controls Framework</w:t>
      </w:r>
      <w:r>
        <w:t xml:space="preserve"> and </w:t>
      </w:r>
      <w:r>
        <w:rPr>
          <w:b/>
          <w:bCs/>
        </w:rPr>
        <w:t xml:space="preserve">FAIR</w:t>
      </w:r>
      <w:r>
        <w:t xml:space="preserve"> to run </w:t>
      </w:r>
      <w:r>
        <w:rPr>
          <w:b/>
          <w:bCs/>
        </w:rPr>
        <w:t xml:space="preserve">one compliance program that answers several regulators at once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Reports to the </w:t>
      </w:r>
      <w:r>
        <w:rPr>
          <w:b/>
          <w:bCs/>
        </w:rPr>
        <w:t xml:space="preserve">CISO</w:t>
      </w:r>
      <w:r>
        <w:t xml:space="preserve"> and works with the </w:t>
      </w:r>
      <w:r>
        <w:rPr>
          <w:b/>
          <w:bCs/>
        </w:rPr>
        <w:t xml:space="preserve">Chief Privacy Officer, internal audit, and procurement</w:t>
      </w:r>
      <w:r>
        <w:t xml:space="preserve">, chairing the monthly cyber risk forum and drafting the </w:t>
      </w:r>
      <w:r>
        <w:rPr>
          <w:b/>
          <w:bCs/>
        </w:rPr>
        <w:t xml:space="preserve">10-K Item 1C</w:t>
      </w:r>
      <w:r>
        <w:t xml:space="preserve"> disclosure with legal.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Manages a team of </w:t>
      </w:r>
      <w:r>
        <w:rPr>
          <w:b/>
          <w:bCs/>
        </w:rPr>
        <w:t xml:space="preserve">5 GRC analysts</w:t>
      </w:r>
      <w:r>
        <w:t xml:space="preserve">, holds </w:t>
      </w:r>
      <w:r>
        <w:rPr>
          <w:b/>
          <w:bCs/>
        </w:rPr>
        <w:t xml:space="preserve">CISSP</w:t>
      </w:r>
      <w:r>
        <w:t xml:space="preserve"> and </w:t>
      </w:r>
      <w:r>
        <w:rPr>
          <w:b/>
          <w:bCs/>
        </w:rPr>
        <w:t xml:space="preserve">CRISC</w:t>
      </w:r>
      <w:r>
        <w:t xml:space="preserve">, and built the </w:t>
      </w:r>
      <w:r>
        <w:rPr>
          <w:b/>
          <w:bCs/>
        </w:rPr>
        <w:t xml:space="preserve">control library, risk taxonomy, and board reporting pack</w:t>
      </w:r>
      <w:r>
        <w:t xml:space="preserve"> the cyber program now runs on.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Compliance Frameworks:</w:t>
      </w:r>
      <w:r>
        <w:tab/>
      </w:r>
      <w:r>
        <w:t xml:space="preserve">NIST CSF 2.0, ISO 27001:2022, PCI DSS v4.0, SOC 2 Type II, NIST SP 800-53, Secure Controls Framework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Regulations &amp; Privacy:</w:t>
      </w:r>
      <w:r>
        <w:tab/>
      </w:r>
      <w:r>
        <w:t xml:space="preserve">SOX, SEC cyber disclosure rules, GDPR, CCPA/CPRA, NIS2, ISO 27701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Risk Management:</w:t>
      </w:r>
      <w:r>
        <w:tab/>
      </w:r>
      <w:r>
        <w:t xml:space="preserve">FAIR, NIST RMF, ISO 31000, enterprise risk taxonomy, KRIs, business impact analysis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Audit &amp; Control Testing:</w:t>
      </w:r>
      <w:r>
        <w:tab/>
      </w:r>
      <w:r>
        <w:t xml:space="preserve">SOX ITGC, continuous control monitoring, design and operating effectiveness, PCI DSS Report on Compliance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GRC Platforms &amp; Automation:</w:t>
      </w:r>
      <w:r>
        <w:tab/>
      </w:r>
      <w:r>
        <w:t xml:space="preserve">AuditBoard (CrossComply, ITRM), ServiceNow IRM, Archer, OneTrust, Microsoft Purview, ACL Analytics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Third-Party Risk:</w:t>
      </w:r>
      <w:r>
        <w:tab/>
      </w:r>
      <w:r>
        <w:t xml:space="preserve">BitSight, SIG Core, vendor risk tiering, SOC report review, contract security clauses, fourth-party mapping</w:t>
      </w:r>
    </w:p>
    <w:p>
      <w:pPr>
        <w:tabs>
          <w:tab w:val="left" w:pos="3426"/>
        </w:tabs>
        <w:spacing w:before="0" w:after="30" w:line="264" w:lineRule="auto"/>
        <w:ind w:left="3426" w:hanging="3426"/>
      </w:pPr>
      <w:r>
        <w:rPr>
          <w:b/>
          <w:bCs/>
        </w:rPr>
        <w:t xml:space="preserve">Reporting &amp; Analytics:</w:t>
      </w:r>
      <w:r>
        <w:tab/>
      </w:r>
      <w:r>
        <w:t xml:space="preserve">Power BI, Audit Committee reporting, KRI/KPI dashboards, Excel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Georgia Institute of Technology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M.S. in Computer Science</w:t>
      </w:r>
      <w:r>
        <w:tab/>
      </w:r>
      <w:r>
        <w:rPr>
          <w:color w:val="5F6368"/>
          <w:sz w:val="19"/>
          <w:szCs w:val="19"/>
        </w:rPr>
        <w:t xml:space="preserve">Atlanta, GA · Aug 2012 to May 2014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ISC2 and ISACA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CISSP and CRISC</w:t>
      </w:r>
      <w:r>
        <w:tab/>
      </w:r>
      <w:r>
        <w:rPr>
          <w:color w:val="5F6368"/>
          <w:sz w:val="19"/>
          <w:szCs w:val="19"/>
        </w:rPr>
        <w:t xml:space="preserve">Atlanta, GA · 2017 and 2020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The Coca-Cola Company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Principal GRC Analyst</w:t>
      </w:r>
      <w:r>
        <w:tab/>
      </w:r>
      <w:r>
        <w:rPr>
          <w:color w:val="5F6368"/>
          <w:sz w:val="19"/>
          <w:szCs w:val="19"/>
        </w:rPr>
        <w:t xml:space="preserve">Atlanta, GA · Mar 2019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Unified NIST CSF 2.0, ISO 27001:2022, PCI DSS v4.0, and SOX ITGC into one control set on the </w:t>
      </w:r>
      <w:r>
        <w:rPr>
          <w:b/>
          <w:bCs/>
        </w:rPr>
        <w:t xml:space="preserve">Secure Controls Framework</w:t>
      </w:r>
      <w:r>
        <w:t xml:space="preserve">, cutting duplicate evidence requests by </w:t>
      </w:r>
      <w:r>
        <w:rPr>
          <w:b/>
          <w:bCs/>
        </w:rPr>
        <w:t xml:space="preserve">57%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Brief the Audit Committee quarterly on the </w:t>
      </w:r>
      <w:r>
        <w:rPr>
          <w:b/>
          <w:bCs/>
        </w:rPr>
        <w:t xml:space="preserve">top 10 cyber risks</w:t>
      </w:r>
      <w:r>
        <w:t xml:space="preserve">, scored with </w:t>
      </w:r>
      <w:r>
        <w:rPr>
          <w:b/>
          <w:bCs/>
        </w:rPr>
        <w:t xml:space="preserve">FAIR</w:t>
      </w:r>
      <w:r>
        <w:t xml:space="preserve"> and tracked in </w:t>
      </w:r>
      <w:r>
        <w:rPr>
          <w:b/>
          <w:bCs/>
        </w:rPr>
        <w:t xml:space="preserve">Power BI</w:t>
      </w:r>
      <w:r>
        <w:t xml:space="preserve">, tying </w:t>
      </w:r>
      <w:r>
        <w:rPr>
          <w:b/>
          <w:bCs/>
        </w:rPr>
        <w:t xml:space="preserve">$18M</w:t>
      </w:r>
      <w:r>
        <w:t xml:space="preserve"> of security spend to modeled loss reduction.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Migrated GRC from Archer to </w:t>
      </w:r>
      <w:r>
        <w:rPr>
          <w:b/>
          <w:bCs/>
        </w:rPr>
        <w:t xml:space="preserve">AuditBoard</w:t>
      </w:r>
      <w:r>
        <w:t xml:space="preserve"> CrossComply and ITRM, wiring Entra ID, Workday, and ServiceNow CMDB integrations that now collect evidence for </w:t>
      </w:r>
      <w:r>
        <w:rPr>
          <w:b/>
          <w:bCs/>
        </w:rPr>
        <w:t xml:space="preserve">46% of controls</w:t>
      </w:r>
      <w:r>
        <w:t xml:space="preserve"> automatically.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Shifted </w:t>
      </w:r>
      <w:r>
        <w:rPr>
          <w:b/>
          <w:bCs/>
        </w:rPr>
        <w:t xml:space="preserve">2,300 suppliers</w:t>
      </w:r>
      <w:r>
        <w:t xml:space="preserve"> from annual questionnaires to continuous monitoring, opening a </w:t>
      </w:r>
      <w:r>
        <w:rPr>
          <w:b/>
          <w:bCs/>
        </w:rPr>
        <w:t xml:space="preserve">OneTrust</w:t>
      </w:r>
      <w:r>
        <w:t xml:space="preserve"> review whenever a </w:t>
      </w:r>
      <w:r>
        <w:rPr>
          <w:b/>
          <w:bCs/>
        </w:rPr>
        <w:t xml:space="preserve">BitSight</w:t>
      </w:r>
      <w:r>
        <w:t xml:space="preserve"> rating drops, cutting critical-vendor recheck time from </w:t>
      </w:r>
      <w:r>
        <w:rPr>
          <w:b/>
          <w:bCs/>
        </w:rPr>
        <w:t xml:space="preserve">11 months to 9 days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Rewrote the global security policy set in plain language, cutting it from </w:t>
      </w:r>
      <w:r>
        <w:rPr>
          <w:b/>
          <w:bCs/>
        </w:rPr>
        <w:t xml:space="preserve">58 documents to 19</w:t>
      </w:r>
      <w:r>
        <w:t xml:space="preserve">, and tied data classification to </w:t>
      </w:r>
      <w:r>
        <w:rPr>
          <w:b/>
          <w:bCs/>
        </w:rPr>
        <w:t xml:space="preserve">Microsoft Purview</w:t>
      </w:r>
      <w:r>
        <w:t xml:space="preserve"> labels in Outlook and Teams.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The Home Depot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Senior IT Risk Analyst</w:t>
      </w:r>
      <w:r>
        <w:tab/>
      </w:r>
      <w:r>
        <w:rPr>
          <w:color w:val="5F6368"/>
          <w:sz w:val="19"/>
          <w:szCs w:val="19"/>
        </w:rPr>
        <w:t xml:space="preserve">Atlanta, GA · Jun 2014 to Feb 2019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Managed the PCI DSS 3.2 Report on Compliance for </w:t>
      </w:r>
      <w:r>
        <w:rPr>
          <w:b/>
          <w:bCs/>
        </w:rPr>
        <w:t xml:space="preserve">2,200 stores</w:t>
      </w:r>
      <w:r>
        <w:t xml:space="preserve"> with the QSA, building a store-sampling evidence plan in SharePoint that cut findings from </w:t>
      </w:r>
      <w:r>
        <w:rPr>
          <w:b/>
          <w:bCs/>
        </w:rPr>
        <w:t xml:space="preserve">14 to 2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Automated </w:t>
      </w:r>
      <w:r>
        <w:rPr>
          <w:b/>
          <w:bCs/>
        </w:rPr>
        <w:t xml:space="preserve">85 SOX ITGC tests</w:t>
      </w:r>
      <w:r>
        <w:t xml:space="preserve"> on SAP and Active Directory in </w:t>
      </w:r>
      <w:r>
        <w:rPr>
          <w:b/>
          <w:bCs/>
        </w:rPr>
        <w:t xml:space="preserve">ACL Analytics</w:t>
      </w:r>
      <w:r>
        <w:t xml:space="preserve">, running them weekly instead of quarterly to catch failing controls between audits, cutting deficiencies by </w:t>
      </w:r>
      <w:r>
        <w:rPr>
          <w:b/>
          <w:bCs/>
        </w:rPr>
        <w:t xml:space="preserve">62%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Kicked off CCPA readiness with legal and marketing, mapping personal data across </w:t>
      </w:r>
      <w:r>
        <w:rPr>
          <w:b/>
          <w:bCs/>
        </w:rPr>
        <w:t xml:space="preserve">31 customer systems</w:t>
      </w:r>
      <w:r>
        <w:t xml:space="preserve"> in </w:t>
      </w:r>
      <w:r>
        <w:rPr>
          <w:b/>
          <w:bCs/>
        </w:rPr>
        <w:t xml:space="preserve">OneTrust</w:t>
      </w:r>
      <w:r>
        <w:t xml:space="preserve"> and finding </w:t>
      </w:r>
      <w:r>
        <w:rPr>
          <w:b/>
          <w:bCs/>
        </w:rPr>
        <w:t xml:space="preserve">9 with no retention rule</w:t>
      </w:r>
      <w:r>
        <w:t xml:space="preserve"> before the 2020 deadline.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Principal GRC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techiecv.com/resume-templates/grc-analyst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grc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Principal GRC Analyst Resume Example</dc:title>
  <dc:creator>Emmanuel Gendre, TechieCV</dc:creator>
  <cp:lastModifiedBy>TechieCV</cp:lastModifiedBy>
  <dcterms:created xsi:type="dcterms:W3CDTF">2026-10-12T05:03:51Z</dcterms:created>
  <dcterms:modified xsi:type="dcterms:W3CDTF">2026-10-12T05:03:51Z</dcterms:modified>
</cp:coreProperties>
</file>